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ПОЛОЖЕНИЕ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о проведении </w:t>
      </w:r>
      <w:bookmarkStart w:id="0" w:name="_Hlk118894830"/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окружного интегрированного конкурса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творческих достижений «#ЖИТЬ»</w:t>
      </w:r>
      <w:bookmarkEnd w:id="0"/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i/>
          <w:iCs/>
          <w:sz w:val="28"/>
          <w:szCs w:val="28"/>
        </w:rPr>
      </w:pPr>
      <w:r>
        <w:rPr>
          <w:rFonts w:ascii="PT Astra Serif" w:hAnsi="PT Astra Serif" w:cs="PT Astra Serif" w:eastAsia="PT Astra Serif"/>
          <w:i/>
          <w:iCs/>
          <w:sz w:val="28"/>
          <w:szCs w:val="28"/>
        </w:rPr>
        <w:t xml:space="preserve">(дистанционная форма проведения)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i/>
          <w:iCs/>
          <w:sz w:val="28"/>
          <w:szCs w:val="28"/>
        </w:rPr>
      </w:pPr>
      <w:r>
        <w:rPr>
          <w:rFonts w:ascii="PT Astra Serif" w:hAnsi="PT Astra Serif" w:cs="PT Astra Serif" w:eastAsia="PT Astra Serif"/>
          <w:i/>
          <w:iCs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1. </w:t>
      </w: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Основные положения</w:t>
      </w:r>
      <w:r>
        <w:rPr>
          <w:rFonts w:ascii="PT Astra Serif" w:hAnsi="PT Astra Serif" w:cs="PT Astra Serif" w:eastAsia="PT Astra Serif"/>
        </w:rPr>
      </w:r>
    </w:p>
    <w:p>
      <w:pPr>
        <w:pStyle w:val="820"/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1.1.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Настоящее Положение определяет цели, задачи, категорию участников, порядок организации и проведения окружного интегрированного конкурса творческих достижений «#ЖИТЬ»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(далее – Конкурс).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1.2.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Конкурс представляет собой мероприятие, направленное на социализацию людей с ограниченными возможностями здоровья (далее – ОВЗ) посредством демонстрации их твор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ческих умений и навыков, как в самостоятельной деятельности, так и совместной деятельности в творческих группах с участниками без ОВЗ и/или под руководством педагогических, социальных и иных работников с использованием современных дистанционных технологий.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1.3.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Учредителем Конкурса является департамент культуры Ямало-Ненецкого автономного округа.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1.4.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Организаторами конкурса являются: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государственное автономное учреждение культуры Ямало-Ненецкого автономного округа «Окружной Центр национальных культур».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1.5. Конкурс проводится в рамках реализации государственной программы Ямало-Ненецкого автономного округа «Основные направления развития культуры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 2022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год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».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8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2.</w:t>
      </w: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Цели и задачи Конкурса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8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2.1. Основной целью Конкурса является привлечение широкого круга людей с ОВЗ к активному и равноправному участию в культурной жизни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общества и содействие развитию творческих способностей одаренных детей и их социальной адаптации и реабилитации.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2.2. Основными задачами Конкурса являются: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привлечение людей с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ОВЗ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к занятиям различными видами искусства в целях их социальной адаптации и интеграции в общество;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выявление творчески одаренных людей с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ОВЗ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 различных видах искусства;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вовлечение клубов, центров, объединений, общественных организаций, учреждений и других организаций (коллективов), работающих с людьми с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ОВЗ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в активную творческую деятельность;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содействие обеспечению доступа инвалидов к занятиям творческой деятельностью;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обмен творческими и практическими результатами работы по социокультурной реабилитации людей с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ОВЗ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между муниципальными образованиями ЯНАО.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3.</w:t>
      </w: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Сроки и место проведения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3.1.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Сроки проведения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Конкурса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: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с 1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8 ноября по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27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ноября 20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22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г. – приём материалов (заявок и конкурсных работ) от муниципальных образований автономного округа;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с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28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ноября по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02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дека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бря 20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22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г. – размещение фотографий конкурсных работ в номинациях «ДПИ» и «ИЗО» в официальной группе ГАУК ЯНАО «ОЦНК» </w:t>
      </w:r>
      <w:hyperlink r:id="rId9" w:tooltip="https://vk.com/ocnk89" w:history="1"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https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://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vk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.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com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/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ocnk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89</w:t>
        </w:r>
      </w:hyperlink>
      <w:r>
        <w:rPr>
          <w:rFonts w:ascii="PT Astra Serif" w:hAnsi="PT Astra Serif" w:cs="PT Astra Serif" w:eastAsia="PT Astra Serif"/>
          <w:sz w:val="28"/>
          <w:szCs w:val="28"/>
        </w:rPr>
        <w:t xml:space="preserve"> для открытого Интернет голосования;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с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02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дека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бря по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07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дека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бря 20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22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г. –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работа жюри по всем номинациям Конкурса;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открытое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интернет-голосование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за конкурсные работы по номинациям «ДПИ» и «ИЗО»;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08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декабря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2022 г.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– подведение итогов Конкурса;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09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декабря 20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22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г. – публикация итогов Конкурса на официальном сайте ГАУК ЯНАО «ОЦНК» </w:t>
      </w:r>
      <w:r>
        <w:rPr>
          <w:szCs w:val="28"/>
          <w:lang w:val="en-US"/>
        </w:rPr>
      </w:r>
      <w:hyperlink r:id="rId10" w:tooltip="https://ocnk.yanao.ru" w:history="1"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https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://</w:t>
        </w:r>
        <w:r>
          <w:rPr>
            <w:rStyle w:val="821"/>
            <w:rFonts w:ascii="PT Astra Serif" w:hAnsi="PT Astra Serif" w:cs="PT Astra Serif" w:eastAsia="PT Astra Serif"/>
            <w:sz w:val="28"/>
          </w:rPr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ocnk.yanao.ru</w:t>
        </w:r>
        <w:r>
          <w:rPr>
            <w:rStyle w:val="821"/>
            <w:rFonts w:ascii="PT Astra Serif" w:hAnsi="PT Astra Serif" w:cs="PT Astra Serif" w:eastAsia="PT Astra Serif"/>
          </w:rPr>
        </w:r>
      </w:hyperlink>
      <w:r>
        <w:rPr>
          <w:rFonts w:ascii="PT Astra Serif" w:hAnsi="PT Astra Serif" w:cs="PT Astra Serif" w:eastAsia="PT Astra Serif"/>
          <w:sz w:val="28"/>
          <w:szCs w:val="28"/>
          <w:highlight w:val="none"/>
          <w:lang w:val="en-US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декабрь 20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22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г. – размещение электронной книги творческих достижений «#ЖИТЬ».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4. Условия и порядок проведения Конкурса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4.1. К участию приглашаются люди с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ОВЗ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проживающие на территории Ямало-Ненецкого автономного округа.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4.2. Конкурс проводится по следующим номинациям: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«Вокал»;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«Инструментальная музыка»;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«Хореография»;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«Художественное слово»;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«Декоративно-прикладное искусство»;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«Изобразительное искусство».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4.3. Во всех номинациях Конкурса установлены возрастные категории: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от 7 до 12 лет;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от 13 до 18 лет;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от 19 до 35 лет;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от 36 лет и старше.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4.4. Для участников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 номинациях «Вокал», «Хореография», «Инструментальная музыка» в зависимости от степени заболевания предоставляется возможность привлечения помощи специалистов для постановки номера и/или участия в конкурсной работе.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4.5. Требование к конкурсным номерам: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тематика конкурсных произведений и работ произвольная;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каждый участник может предоставить на Конкурс не более 2-х конкурсных работ;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конкурсные работы в номинациях «Вокал», «Хореография», «Инструментальная музыка», «Художественное слово» должны быть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записаны в формате </w:t>
      </w:r>
      <w:r>
        <w:rPr>
          <w:rFonts w:ascii="PT Astra Serif" w:hAnsi="PT Astra Serif" w:cs="PT Astra Serif" w:eastAsia="PT Astra Serif"/>
          <w:sz w:val="28"/>
          <w:szCs w:val="28"/>
          <w:lang w:val="en-US"/>
        </w:rPr>
        <w:t xml:space="preserve">MP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4, </w:t>
      </w:r>
      <w:r>
        <w:rPr>
          <w:rFonts w:ascii="PT Astra Serif" w:hAnsi="PT Astra Serif" w:cs="PT Astra Serif" w:eastAsia="PT Astra Serif"/>
          <w:sz w:val="28"/>
          <w:szCs w:val="28"/>
          <w:lang w:val="en-US"/>
        </w:rPr>
        <w:t xml:space="preserve">AVI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. Хронометраж одной работы не должен превышать 3-х минут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;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конкурсные работы в номинациях «Декоративно-прикладное искусство» и «Изобразительное искусство» обозначены этикеткой по форме в соответствии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с приложением №1 к настоящему Положению, сфотографированы с трех ракурсов (формат </w:t>
      </w:r>
      <w:r>
        <w:rPr>
          <w:rFonts w:ascii="PT Astra Serif" w:hAnsi="PT Astra Serif" w:cs="PT Astra Serif" w:eastAsia="PT Astra Serif"/>
          <w:sz w:val="28"/>
          <w:szCs w:val="28"/>
          <w:lang w:val="en-US"/>
        </w:rPr>
        <w:t xml:space="preserve">JPEG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</w:t>
      </w:r>
      <w:r>
        <w:rPr>
          <w:rFonts w:ascii="PT Astra Serif" w:hAnsi="PT Astra Serif" w:cs="PT Astra Serif" w:eastAsia="PT Astra Serif"/>
          <w:sz w:val="28"/>
          <w:szCs w:val="28"/>
          <w:lang w:val="en-US"/>
        </w:rPr>
        <w:t xml:space="preserve">JPG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</w:t>
      </w:r>
      <w:r>
        <w:rPr>
          <w:rFonts w:ascii="PT Astra Serif" w:hAnsi="PT Astra Serif" w:cs="PT Astra Serif" w:eastAsia="PT Astra Serif"/>
          <w:sz w:val="28"/>
          <w:szCs w:val="28"/>
          <w:lang w:val="en-US"/>
        </w:rPr>
        <w:t xml:space="preserve">PSD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)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конкурсные работы в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 всех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номинациях должны быть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выполнены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не ранее 2020 года.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4.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6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. Для участия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Конкурс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е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необходимо направить заявки участников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(Приложение №1,№2)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и конкурсные материалы по адресу: 629008, ЯНАО, г.Салехард, ул.Республики, д.74, ГАУК ЯНАО «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кружной Центр национальных культур» (кабинет № 146) или на электронную почту: </w:t>
      </w:r>
      <w:hyperlink r:id="rId11" w:tooltip="mailto:ocnk.osrnk@gmail.com" w:history="1"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ocnk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.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osrnk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@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gmail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.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com</w:t>
        </w:r>
      </w:hyperlink>
      <w:r>
        <w:rPr>
          <w:rStyle w:val="821"/>
          <w:rFonts w:ascii="PT Astra Serif" w:hAnsi="PT Astra Serif" w:cs="PT Astra Serif" w:eastAsia="PT Astra Serif"/>
          <w:sz w:val="28"/>
          <w:szCs w:val="28"/>
        </w:rPr>
        <w:t xml:space="preserve">.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4.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7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. К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онкурсный материал принимается как ссылкой на просмотр материала, так и файлом на электронную почту.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4.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8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. Дополнительная информация о проведении Конкурса предоставляется следующими лицами: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Гизатуллина Ольга Владимировна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заведую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щая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отделом сохранения и развития народной культуры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ГАУК ЯНАО «Окружной Центр национальных культур» - тел. 8(34922)4-7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7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-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44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Хозяинова Ксения Дмитриевна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специалист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по фольклору отдела сохранения и развития народной культуры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ГАУК ЯНАО «Окружной Центр национальных культур» - тел. 8(34922)4-7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7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-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44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5.</w:t>
      </w: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Ж</w:t>
      </w: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юри конкурса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5.1. Конкурсные работы оценивают жюри из числа ведущих специалистов в сфере культуры, в сфере социальной защиты населения, представители общественных организаций.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5.2. Состав жюри формируется Окружным Центром национальных культур и утверждается директором учреждения.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5.3. Жюри Конкурса оценивает конкурсные работы по пятибалльной системе 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определяются победители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по количеству набранных баллов в соответствии со следующими критериями: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5.3.1. Критерии оценки в номинациях «Вокал», «Инструментальная музыка», «Хореография», «Художественное слово»: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качество и техника исполнения;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соответствие творческой работы индивидуальным и возрастным особенностям исполнителя;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эмоциональность и артистизм;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оригинальность авторского решения.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5.3.2. Критерии оценки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 номинациях «Декоративно-прикладное искусство», «Изобразительное искусство»: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композиционное решение;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пропорциональное соотношение и решение перспективы;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цветовое соотношение и выразительность светового решения;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соответствие творческой работы индивидуальным и возрастным особенностям исполнителя;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 оригинальность и индивидуальность исполнения.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5.4. В случае если два и более участника Конкурса набрали равное количество баллов, победитель определяется путем прямого открытого голосования членов жюри. В случае равенства голосов, решающим является голос председателя жюри.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5.5. Жюри Конкурса имеет право определять обладателей специальных дипломов Конкурса.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5.6. Решение жюри фиксируется в протоколе, подписывается всеми членами жюри и пересмотру не подлежит.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center"/>
        <w:rPr>
          <w:rFonts w:ascii="PT Astra Serif" w:hAnsi="PT Astra Serif" w:cs="PT Astra Serif" w:eastAsia="PT Astra Serif"/>
          <w:b/>
          <w:bCs/>
          <w:sz w:val="28"/>
          <w:szCs w:val="28"/>
        </w:rPr>
      </w:pPr>
      <w:r>
        <w:rPr>
          <w:rFonts w:ascii="PT Astra Serif" w:hAnsi="PT Astra Serif" w:cs="PT Astra Serif" w:eastAsia="PT Astra Serif"/>
          <w:b/>
          <w:bCs/>
          <w:sz w:val="28"/>
          <w:szCs w:val="28"/>
        </w:rPr>
        <w:t xml:space="preserve">6. Подведение итогов Конкурса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709" w:firstLine="1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6.1. Победители Конкурса награждаются дипломами </w:t>
      </w:r>
      <w:r>
        <w:rPr>
          <w:rFonts w:ascii="PT Astra Serif" w:hAnsi="PT Astra Serif" w:cs="PT Astra Serif" w:eastAsia="PT Astra Serif"/>
          <w:sz w:val="28"/>
          <w:szCs w:val="28"/>
          <w:lang w:val="en-US"/>
        </w:rPr>
        <w:t xml:space="preserve">I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</w:t>
      </w:r>
      <w:r>
        <w:rPr>
          <w:rFonts w:ascii="PT Astra Serif" w:hAnsi="PT Astra Serif" w:cs="PT Astra Serif" w:eastAsia="PT Astra Serif"/>
          <w:sz w:val="28"/>
          <w:szCs w:val="28"/>
          <w:lang w:val="en-US"/>
        </w:rPr>
        <w:t xml:space="preserve">II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, </w:t>
      </w:r>
      <w:r>
        <w:rPr>
          <w:rFonts w:ascii="PT Astra Serif" w:hAnsi="PT Astra Serif" w:cs="PT Astra Serif" w:eastAsia="PT Astra Serif"/>
          <w:sz w:val="28"/>
          <w:szCs w:val="28"/>
          <w:lang w:val="en-US"/>
        </w:rPr>
        <w:t xml:space="preserve">III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степени каждой номинации. Участники конкурса, не вошедшие в число победителей, награждаются дипломами участников.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6.2. Дипломы победителям и участникам конкурса рассылаются в электронном виде по указанному электронному адресу в заявке участника.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6.3. Победители открытого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интернет-голосования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определяются по наибольшему количеству набранных голосов в каждой номинации и награждаются дипломами «Народное признание».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ind w:left="0" w:firstLine="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6.4. Итогом Конкурса станет выпуск электронной книги творческих достижений «#ЖИТЬ», которая также будет размещена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на официальном сайте ГАУК ЯНАО «ОЦНК» </w:t>
      </w:r>
      <w:r>
        <w:rPr>
          <w:szCs w:val="28"/>
          <w:lang w:val="en-US"/>
        </w:rPr>
      </w:r>
      <w:hyperlink r:id="rId12" w:tooltip="https://ocnk.yanao.ru" w:history="1"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https</w:t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</w:rPr>
          <w:t xml:space="preserve">://</w:t>
        </w:r>
        <w:r>
          <w:rPr>
            <w:rStyle w:val="821"/>
            <w:rFonts w:ascii="PT Astra Serif" w:hAnsi="PT Astra Serif" w:cs="PT Astra Serif" w:eastAsia="PT Astra Serif"/>
            <w:sz w:val="28"/>
          </w:rPr>
        </w:r>
        <w:r>
          <w:rPr>
            <w:rStyle w:val="821"/>
            <w:rFonts w:ascii="PT Astra Serif" w:hAnsi="PT Astra Serif" w:cs="PT Astra Serif" w:eastAsia="PT Astra Serif"/>
            <w:sz w:val="28"/>
            <w:szCs w:val="28"/>
            <w:lang w:val="en-US"/>
          </w:rPr>
          <w:t xml:space="preserve">ocnk.yanao.ru</w:t>
        </w:r>
        <w:r>
          <w:rPr>
            <w:rStyle w:val="821"/>
            <w:rFonts w:ascii="PT Astra Serif" w:hAnsi="PT Astra Serif" w:cs="PT Astra Serif" w:eastAsia="PT Astra Serif"/>
          </w:rPr>
        </w:r>
      </w:hyperlink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left"/>
        <w:rPr>
          <w:rFonts w:ascii="PT Astra Serif" w:hAnsi="PT Astra Serif" w:cs="PT Astra Serif" w:eastAsia="PT Astra Serif"/>
          <w:sz w:val="20"/>
          <w:szCs w:val="28"/>
        </w:rPr>
      </w:pPr>
      <w:r>
        <w:rPr>
          <w:rFonts w:ascii="PT Astra Serif" w:hAnsi="PT Astra Serif" w:cs="PT Astra Serif" w:eastAsia="PT Astra Serif"/>
          <w:bCs/>
          <w:sz w:val="20"/>
          <w:szCs w:val="28"/>
          <w:highlight w:val="none"/>
        </w:rPr>
      </w:r>
      <w:r>
        <w:rPr>
          <w:rFonts w:ascii="PT Astra Serif" w:hAnsi="PT Astra Serif" w:cs="PT Astra Serif" w:eastAsia="PT Astra Serif"/>
          <w:bCs/>
          <w:sz w:val="20"/>
          <w:szCs w:val="28"/>
          <w:highlight w:val="none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bCs/>
          <w:sz w:val="20"/>
          <w:szCs w:val="28"/>
          <w:highlight w:val="none"/>
        </w:rPr>
      </w:pPr>
      <w:r>
        <w:rPr>
          <w:rFonts w:ascii="PT Astra Serif" w:hAnsi="PT Astra Serif" w:cs="PT Astra Serif" w:eastAsia="PT Astra Serif"/>
          <w:sz w:val="20"/>
          <w:szCs w:val="28"/>
        </w:rPr>
        <w:t xml:space="preserve">Приложение №1</w:t>
      </w:r>
      <w:r>
        <w:rPr>
          <w:rFonts w:ascii="PT Astra Serif" w:hAnsi="PT Astra Serif" w:cs="PT Astra Serif" w:eastAsia="PT Astra Serif"/>
          <w:bCs/>
          <w:sz w:val="20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0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sz w:val="20"/>
        </w:rPr>
      </w:pPr>
      <w:r>
        <w:rPr>
          <w:rFonts w:ascii="PT Astra Serif" w:hAnsi="PT Astra Serif" w:cs="PT Astra Serif" w:eastAsia="PT Astra Serif"/>
          <w:bCs/>
          <w:sz w:val="20"/>
          <w:szCs w:val="28"/>
        </w:rPr>
        <w:t xml:space="preserve">к Положению о проведении</w:t>
      </w:r>
      <w:r>
        <w:rPr>
          <w:rFonts w:ascii="PT Astra Serif" w:hAnsi="PT Astra Serif" w:cs="PT Astra Serif" w:eastAsia="PT Astra Serif"/>
          <w:sz w:val="20"/>
        </w:rPr>
        <w:t xml:space="preserve"> </w:t>
      </w:r>
      <w:r>
        <w:rPr>
          <w:rFonts w:ascii="PT Astra Serif" w:hAnsi="PT Astra Serif" w:cs="PT Astra Serif" w:eastAsia="PT Astra Serif"/>
          <w:sz w:val="20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bCs/>
          <w:sz w:val="20"/>
          <w:szCs w:val="28"/>
        </w:rPr>
      </w:pPr>
      <w:r>
        <w:rPr>
          <w:rFonts w:ascii="PT Astra Serif" w:hAnsi="PT Astra Serif" w:cs="PT Astra Serif" w:eastAsia="PT Astra Serif"/>
          <w:bCs/>
          <w:sz w:val="20"/>
          <w:szCs w:val="28"/>
        </w:rPr>
        <w:t xml:space="preserve">окружного интегрированного конкурса</w:t>
      </w:r>
      <w:r>
        <w:rPr>
          <w:rFonts w:ascii="PT Astra Serif" w:hAnsi="PT Astra Serif" w:cs="PT Astra Serif" w:eastAsia="PT Astra Serif"/>
          <w:sz w:val="20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bCs/>
          <w:sz w:val="20"/>
          <w:szCs w:val="28"/>
        </w:rPr>
      </w:pPr>
      <w:r>
        <w:rPr>
          <w:rFonts w:ascii="PT Astra Serif" w:hAnsi="PT Astra Serif" w:cs="PT Astra Serif" w:eastAsia="PT Astra Serif"/>
          <w:bCs/>
          <w:sz w:val="20"/>
          <w:szCs w:val="28"/>
        </w:rPr>
        <w:t xml:space="preserve">творческих достижений «#ЖИТЬ»</w:t>
      </w:r>
      <w:r>
        <w:rPr>
          <w:rFonts w:ascii="PT Astra Serif" w:hAnsi="PT Astra Serif" w:cs="PT Astra Serif" w:eastAsia="PT Astra Serif"/>
          <w:sz w:val="20"/>
        </w:rPr>
      </w:r>
    </w:p>
    <w:p>
      <w:pPr>
        <w:rPr>
          <w:rFonts w:ascii="PT Astra Serif" w:hAnsi="PT Astra Serif" w:cs="PT Astra Serif" w:eastAsia="PT Astra Serif"/>
          <w:sz w:val="20"/>
          <w:szCs w:val="28"/>
        </w:rPr>
      </w:pPr>
      <w:r>
        <w:rPr>
          <w:rFonts w:ascii="PT Astra Serif" w:hAnsi="PT Astra Serif" w:cs="PT Astra Serif" w:eastAsia="PT Astra Serif"/>
          <w:sz w:val="20"/>
          <w:szCs w:val="28"/>
        </w:rPr>
      </w:r>
      <w:r>
        <w:rPr>
          <w:rFonts w:ascii="PT Astra Serif" w:hAnsi="PT Astra Serif" w:cs="PT Astra Serif" w:eastAsia="PT Astra Serif"/>
          <w:sz w:val="20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ЗАЯВКА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на участие в окружном интегрированном конкурсе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творческих достижений «#ЖИТЬ»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i/>
          <w:sz w:val="24"/>
          <w:szCs w:val="28"/>
        </w:rPr>
      </w:pPr>
      <w:r>
        <w:rPr>
          <w:rFonts w:ascii="PT Astra Serif" w:hAnsi="PT Astra Serif" w:cs="PT Astra Serif" w:eastAsia="PT Astra Serif"/>
          <w:i/>
          <w:sz w:val="24"/>
          <w:szCs w:val="28"/>
        </w:rPr>
        <w:t xml:space="preserve">Номинация: </w:t>
      </w:r>
      <w:r>
        <w:rPr>
          <w:rFonts w:ascii="PT Astra Serif" w:hAnsi="PT Astra Serif" w:cs="PT Astra Serif" w:eastAsia="PT Astra Serif"/>
          <w:i/>
          <w:sz w:val="24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i/>
          <w:sz w:val="24"/>
          <w:szCs w:val="28"/>
        </w:rPr>
      </w:pPr>
      <w:r>
        <w:rPr>
          <w:rFonts w:ascii="PT Astra Serif" w:hAnsi="PT Astra Serif" w:cs="PT Astra Serif" w:eastAsia="PT Astra Serif"/>
          <w:i/>
          <w:sz w:val="24"/>
          <w:szCs w:val="28"/>
        </w:rPr>
        <w:t xml:space="preserve">«вокал», «инструментальная музыка», «художественное слово», «хореография»</w:t>
      </w:r>
      <w:r>
        <w:rPr>
          <w:rFonts w:ascii="PT Astra Serif" w:hAnsi="PT Astra Serif" w:cs="PT Astra Serif" w:eastAsia="PT Astra Serif"/>
          <w:i/>
          <w:sz w:val="24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tbl>
      <w:tblPr>
        <w:tblW w:w="90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27"/>
        <w:gridCol w:w="1635"/>
        <w:gridCol w:w="1419"/>
        <w:gridCol w:w="2786"/>
      </w:tblGrid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Муниципальное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образование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Ф.И.О. участника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Дата рождения (число, месяц, год)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Домашний адрес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Телефон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Заболевание (инвалид по слуху, зрение, нарушение опорно-двигательной системы, общее заболевание)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Номинация 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9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Репертуар: </w:t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Название произведения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Авторы (музыка, слова) постановщик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Продолжительность </w:t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Ф.И.О. 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ответственного лица за формирование заявки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Место работы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Должность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Телефон для связи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Подпись руководителя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учреждения ______________________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____________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    </w:t>
      </w:r>
      <w:r>
        <w:rPr>
          <w:rFonts w:ascii="PT Astra Serif" w:hAnsi="PT Astra Serif" w:cs="PT Astra Serif" w:eastAsia="PT Astra Serif"/>
        </w:rPr>
      </w:r>
    </w:p>
    <w:p>
      <w:pPr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</w:r>
    </w:p>
    <w:p>
      <w:pPr>
        <w:rPr>
          <w:rFonts w:ascii="PT Astra Serif" w:hAnsi="PT Astra Serif" w:cs="PT Astra Serif" w:eastAsia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МП</w:t>
        <w:tab/>
        <w:tab/>
        <w:tab/>
        <w:tab/>
        <w:tab/>
        <w:tab/>
        <w:tab/>
      </w:r>
      <w:r>
        <w:rPr>
          <w:rFonts w:ascii="PT Astra Serif" w:hAnsi="PT Astra Serif" w:cs="PT Astra Serif" w:eastAsia="PT Astra Serif"/>
          <w:sz w:val="28"/>
          <w:szCs w:val="28"/>
        </w:rPr>
        <w:t xml:space="preserve">«____»___________________ 20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22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г.</w:t>
      </w:r>
      <w:r>
        <w:rPr>
          <w:rFonts w:ascii="PT Astra Serif" w:hAnsi="PT Astra Serif" w:cs="PT Astra Serif" w:eastAsia="PT Astra Serif"/>
        </w:rPr>
      </w:r>
    </w:p>
    <w:p>
      <w:pPr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left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  <w:sz w:val="28"/>
          <w:szCs w:val="28"/>
        </w:rPr>
      </w:r>
    </w:p>
    <w:p>
      <w:pPr>
        <w:spacing w:after="0" w:line="240" w:lineRule="auto"/>
        <w:jc w:val="left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bCs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bCs/>
          <w:sz w:val="28"/>
          <w:szCs w:val="28"/>
          <w:highlight w:val="none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sz w:val="20"/>
          <w:highlight w:val="none"/>
        </w:rPr>
      </w:pPr>
      <w:r>
        <w:rPr>
          <w:rFonts w:ascii="PT Astra Serif" w:hAnsi="PT Astra Serif" w:cs="PT Astra Serif" w:eastAsia="PT Astra Serif"/>
          <w:sz w:val="20"/>
          <w:szCs w:val="28"/>
        </w:rPr>
        <w:t xml:space="preserve">Приложение №2</w:t>
      </w:r>
      <w:r>
        <w:rPr>
          <w:rFonts w:ascii="PT Astra Serif" w:hAnsi="PT Astra Serif" w:cs="PT Astra Serif" w:eastAsia="PT Astra Serif"/>
          <w:bCs/>
          <w:sz w:val="20"/>
          <w:szCs w:val="28"/>
        </w:rPr>
        <w:t xml:space="preserve"> </w:t>
      </w:r>
      <w:r>
        <w:rPr>
          <w:rFonts w:ascii="PT Astra Serif" w:hAnsi="PT Astra Serif" w:cs="PT Astra Serif" w:eastAsia="PT Astra Serif"/>
          <w:sz w:val="20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sz w:val="20"/>
        </w:rPr>
      </w:pPr>
      <w:r>
        <w:rPr>
          <w:rFonts w:ascii="PT Astra Serif" w:hAnsi="PT Astra Serif" w:cs="PT Astra Serif" w:eastAsia="PT Astra Serif"/>
          <w:bCs/>
          <w:sz w:val="20"/>
          <w:szCs w:val="28"/>
        </w:rPr>
        <w:t xml:space="preserve">к Положению о проведении</w:t>
      </w:r>
      <w:r>
        <w:rPr>
          <w:rFonts w:ascii="PT Astra Serif" w:hAnsi="PT Astra Serif" w:cs="PT Astra Serif" w:eastAsia="PT Astra Serif"/>
          <w:sz w:val="20"/>
        </w:rPr>
        <w:t xml:space="preserve"> </w:t>
      </w:r>
      <w:r>
        <w:rPr>
          <w:rFonts w:ascii="PT Astra Serif" w:hAnsi="PT Astra Serif" w:cs="PT Astra Serif" w:eastAsia="PT Astra Serif"/>
          <w:sz w:val="20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sz w:val="20"/>
        </w:rPr>
      </w:pPr>
      <w:r>
        <w:rPr>
          <w:rFonts w:ascii="PT Astra Serif" w:hAnsi="PT Astra Serif" w:cs="PT Astra Serif" w:eastAsia="PT Astra Serif"/>
          <w:bCs/>
          <w:sz w:val="20"/>
          <w:szCs w:val="28"/>
        </w:rPr>
        <w:t xml:space="preserve">окружного интегрированного конкурса</w:t>
      </w:r>
      <w:r>
        <w:rPr>
          <w:rFonts w:ascii="PT Astra Serif" w:hAnsi="PT Astra Serif" w:cs="PT Astra Serif" w:eastAsia="PT Astra Serif"/>
          <w:sz w:val="20"/>
        </w:rPr>
      </w:r>
    </w:p>
    <w:p>
      <w:pPr>
        <w:spacing w:after="0" w:line="240" w:lineRule="auto"/>
        <w:jc w:val="right"/>
        <w:rPr>
          <w:rFonts w:ascii="PT Astra Serif" w:hAnsi="PT Astra Serif" w:cs="PT Astra Serif" w:eastAsia="PT Astra Serif"/>
          <w:sz w:val="20"/>
        </w:rPr>
      </w:pPr>
      <w:r>
        <w:rPr>
          <w:rFonts w:ascii="PT Astra Serif" w:hAnsi="PT Astra Serif" w:cs="PT Astra Serif" w:eastAsia="PT Astra Serif"/>
          <w:bCs/>
          <w:sz w:val="20"/>
          <w:szCs w:val="28"/>
        </w:rPr>
        <w:t xml:space="preserve">творческих достижений «#ЖИТЬ»</w:t>
      </w:r>
      <w:r>
        <w:rPr>
          <w:rFonts w:ascii="PT Astra Serif" w:hAnsi="PT Astra Serif" w:cs="PT Astra Serif" w:eastAsia="PT Astra Serif"/>
          <w:sz w:val="20"/>
        </w:rPr>
      </w:r>
    </w:p>
    <w:p>
      <w:pPr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ЗАЯВКА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на участие в окружном интегрированном конкурсе 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творческих достижений «#ЖИТЬ»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i/>
          <w:sz w:val="24"/>
          <w:szCs w:val="28"/>
        </w:rPr>
      </w:pPr>
      <w:r>
        <w:rPr>
          <w:rFonts w:ascii="PT Astra Serif" w:hAnsi="PT Astra Serif" w:cs="PT Astra Serif" w:eastAsia="PT Astra Serif"/>
          <w:i/>
          <w:sz w:val="24"/>
          <w:szCs w:val="28"/>
        </w:rPr>
        <w:t xml:space="preserve">Номинации:</w:t>
      </w:r>
      <w:r>
        <w:rPr>
          <w:rFonts w:ascii="PT Astra Serif" w:hAnsi="PT Astra Serif" w:cs="PT Astra Serif" w:eastAsia="PT Astra Serif"/>
          <w:sz w:val="24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i/>
          <w:sz w:val="24"/>
          <w:szCs w:val="28"/>
        </w:rPr>
      </w:pPr>
      <w:r>
        <w:rPr>
          <w:rFonts w:ascii="PT Astra Serif" w:hAnsi="PT Astra Serif" w:cs="PT Astra Serif" w:eastAsia="PT Astra Serif"/>
          <w:i/>
          <w:sz w:val="24"/>
          <w:szCs w:val="28"/>
        </w:rPr>
        <w:t xml:space="preserve">«декоративно – прикладное искусство» и «изобразительное искусство»</w:t>
      </w:r>
      <w:r>
        <w:rPr>
          <w:rFonts w:ascii="PT Astra Serif" w:hAnsi="PT Astra Serif" w:cs="PT Astra Serif" w:eastAsia="PT Astra Serif"/>
          <w:i/>
          <w:sz w:val="24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14"/>
        <w:gridCol w:w="1748"/>
        <w:gridCol w:w="1087"/>
        <w:gridCol w:w="3402"/>
      </w:tblGrid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Муниципальное 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образование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Ф.И.О. участника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Дата рождения (число, месяц, год)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Домашний адрес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Телефон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Заболевание (инвалид по слуху, зрение, нарушение опорно-двигательной системы, общее заболевание)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Номинация 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Название произведения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Материал 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Техника </w:t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Ф.И.О. 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ответственного лица за формирование заявки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Место работы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Должность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4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Телефон для связи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</w:tbl>
    <w:p>
      <w:pPr>
        <w:spacing w:after="0" w:line="240" w:lineRule="auto"/>
        <w:jc w:val="left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bCs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Этикетка работы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*</w:t>
      </w:r>
      <w:r>
        <w:rPr>
          <w:rFonts w:ascii="PT Astra Serif" w:hAnsi="PT Astra Serif" w:cs="PT Astra Serif" w:eastAsia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8"/>
        </w:rPr>
      </w:r>
      <w:r>
        <w:rPr>
          <w:rFonts w:ascii="PT Astra Serif" w:hAnsi="PT Astra Serif" w:cs="PT Astra Serif" w:eastAsia="PT Astra Serif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22"/>
        <w:gridCol w:w="6432"/>
      </w:tblGrid>
      <w:tr>
        <w:trPr/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Ф.И.О. участника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Возраст 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2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Муниципальное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образование, учреждение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6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Название конкурсной работы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Вид, материал, техника исполнения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6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</w:tbl>
    <w:p>
      <w:pPr>
        <w:jc w:val="left"/>
        <w:rPr>
          <w:rFonts w:ascii="PT Astra Serif" w:hAnsi="PT Astra Serif" w:cs="PT Astra Serif" w:eastAsia="PT Astra Serif"/>
          <w:i/>
          <w:sz w:val="22"/>
        </w:rPr>
      </w:pPr>
      <w:r>
        <w:rPr>
          <w:rFonts w:ascii="PT Astra Serif" w:hAnsi="PT Astra Serif" w:cs="PT Astra Serif" w:eastAsia="PT Astra Serif"/>
          <w:i/>
          <w:sz w:val="22"/>
          <w:szCs w:val="28"/>
        </w:rPr>
        <w:t xml:space="preserve">*на каждую работу необходимо создать отдельную этикетку</w:t>
      </w:r>
      <w:r>
        <w:rPr>
          <w:rFonts w:ascii="PT Astra Serif" w:hAnsi="PT Astra Serif" w:cs="PT Astra Serif" w:eastAsia="PT Astra Serif"/>
          <w:i/>
          <w:sz w:val="22"/>
        </w:rPr>
      </w:r>
    </w:p>
    <w:p>
      <w:pPr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Подпись руководителя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учреждения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_____________________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_____________</w:t>
      </w:r>
      <w:r>
        <w:rPr>
          <w:rFonts w:ascii="PT Astra Serif" w:hAnsi="PT Astra Serif" w:cs="PT Astra Serif" w:eastAsia="PT Astra Serif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МП</w:t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«____»___________________ 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Next/>
      <w:keepLines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6"/>
    <w:next w:val="816"/>
    <w:link w:val="66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16"/>
    <w:next w:val="81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16"/>
    <w:next w:val="816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6"/>
    <w:next w:val="816"/>
    <w:link w:val="6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6"/>
    <w:link w:val="66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16"/>
    <w:link w:val="67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0">
    <w:name w:val="Footer Char"/>
    <w:basedOn w:val="817"/>
    <w:link w:val="669"/>
    <w:uiPriority w:val="99"/>
  </w:style>
  <w:style w:type="paragraph" w:styleId="671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9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10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11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12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13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14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15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3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4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5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6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7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8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9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3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4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5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6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7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8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0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4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7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1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spacing w:after="57"/>
      <w:ind w:left="0" w:right="0" w:firstLine="0"/>
    </w:pPr>
  </w:style>
  <w:style w:type="paragraph" w:styleId="806">
    <w:name w:val="toc 2"/>
    <w:basedOn w:val="816"/>
    <w:next w:val="816"/>
    <w:uiPriority w:val="39"/>
    <w:unhideWhenUsed/>
    <w:pPr>
      <w:spacing w:after="57"/>
      <w:ind w:left="283" w:right="0" w:firstLine="0"/>
    </w:pPr>
  </w:style>
  <w:style w:type="paragraph" w:styleId="807">
    <w:name w:val="toc 3"/>
    <w:basedOn w:val="816"/>
    <w:next w:val="816"/>
    <w:uiPriority w:val="39"/>
    <w:unhideWhenUsed/>
    <w:pPr>
      <w:spacing w:after="57"/>
      <w:ind w:left="567" w:right="0" w:firstLine="0"/>
    </w:pPr>
  </w:style>
  <w:style w:type="paragraph" w:styleId="808">
    <w:name w:val="toc 4"/>
    <w:basedOn w:val="816"/>
    <w:next w:val="816"/>
    <w:uiPriority w:val="39"/>
    <w:unhideWhenUsed/>
    <w:pPr>
      <w:spacing w:after="57"/>
      <w:ind w:left="850" w:right="0" w:firstLine="0"/>
    </w:pPr>
  </w:style>
  <w:style w:type="paragraph" w:styleId="809">
    <w:name w:val="toc 5"/>
    <w:basedOn w:val="816"/>
    <w:next w:val="816"/>
    <w:uiPriority w:val="39"/>
    <w:unhideWhenUsed/>
    <w:pPr>
      <w:spacing w:after="57"/>
      <w:ind w:left="1134" w:right="0" w:firstLine="0"/>
    </w:pPr>
  </w:style>
  <w:style w:type="paragraph" w:styleId="810">
    <w:name w:val="toc 6"/>
    <w:basedOn w:val="816"/>
    <w:next w:val="816"/>
    <w:uiPriority w:val="39"/>
    <w:unhideWhenUsed/>
    <w:pPr>
      <w:spacing w:after="57"/>
      <w:ind w:left="1417" w:right="0" w:firstLine="0"/>
    </w:pPr>
  </w:style>
  <w:style w:type="paragraph" w:styleId="811">
    <w:name w:val="toc 7"/>
    <w:basedOn w:val="816"/>
    <w:next w:val="816"/>
    <w:uiPriority w:val="39"/>
    <w:unhideWhenUsed/>
    <w:pPr>
      <w:spacing w:after="57"/>
      <w:ind w:left="1701" w:right="0" w:firstLine="0"/>
    </w:pPr>
  </w:style>
  <w:style w:type="paragraph" w:styleId="812">
    <w:name w:val="toc 8"/>
    <w:basedOn w:val="816"/>
    <w:next w:val="816"/>
    <w:uiPriority w:val="39"/>
    <w:unhideWhenUsed/>
    <w:pPr>
      <w:spacing w:after="57"/>
      <w:ind w:left="1984" w:right="0" w:firstLine="0"/>
    </w:pPr>
  </w:style>
  <w:style w:type="paragraph" w:styleId="813">
    <w:name w:val="toc 9"/>
    <w:basedOn w:val="816"/>
    <w:next w:val="816"/>
    <w:uiPriority w:val="39"/>
    <w:unhideWhenUsed/>
    <w:pPr>
      <w:spacing w:after="57"/>
      <w:ind w:left="2268" w:right="0" w:firstLine="0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List Paragraph"/>
    <w:basedOn w:val="816"/>
    <w:uiPriority w:val="34"/>
    <w:qFormat/>
    <w:pPr>
      <w:ind w:left="720"/>
      <w:contextualSpacing/>
    </w:pPr>
  </w:style>
  <w:style w:type="character" w:styleId="821">
    <w:name w:val="Hyperlink"/>
    <w:basedOn w:val="817"/>
    <w:uiPriority w:val="99"/>
    <w:unhideWhenUsed/>
    <w:rPr>
      <w:color w:val="0563C1" w:themeColor="hyperlink"/>
      <w:u w:val="single"/>
    </w:rPr>
  </w:style>
  <w:style w:type="character" w:styleId="822">
    <w:name w:val="Unresolved Mention"/>
    <w:basedOn w:val="81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ocnk89" TargetMode="External"/><Relationship Id="rId10" Type="http://schemas.openxmlformats.org/officeDocument/2006/relationships/hyperlink" Target="https://ocnk.yanao.ru" TargetMode="External"/><Relationship Id="rId11" Type="http://schemas.openxmlformats.org/officeDocument/2006/relationships/hyperlink" Target="mailto:ocnk.osrnk@gmail.com" TargetMode="External"/><Relationship Id="rId12" Type="http://schemas.openxmlformats.org/officeDocument/2006/relationships/hyperlink" Target="https://ocnk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Хозяинова</dc:creator>
  <cp:keywords/>
  <dc:description/>
  <cp:revision>18</cp:revision>
  <dcterms:created xsi:type="dcterms:W3CDTF">2022-11-08T09:59:00Z</dcterms:created>
  <dcterms:modified xsi:type="dcterms:W3CDTF">2022-11-16T06:53:45Z</dcterms:modified>
</cp:coreProperties>
</file>